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>
          <w:b/>
        </w:rPr>
        <w:t>Informacja dodatkowa do sprawozdania  finansowego za rok 2019</w:t>
      </w:r>
      <w:r/>
    </w:p>
    <w:tbl>
      <w:tblPr>
        <w:tblStyle w:val="Tabela-Siatka"/>
        <w:tblW w:w="9464" w:type="dxa"/>
        <w:jc w:val="left"/>
        <w:tblInd w:w="-35" w:type="dxa"/>
        <w:tblBorders/>
        <w:tblCellMar>
          <w:top w:w="0" w:type="dxa"/>
          <w:left w:w="73" w:type="dxa"/>
          <w:bottom w:w="0" w:type="dxa"/>
          <w:right w:w="108" w:type="dxa"/>
        </w:tblCellMar>
      </w:tblPr>
      <w:tblGrid>
        <w:gridCol w:w="667"/>
        <w:gridCol w:w="5969"/>
        <w:gridCol w:w="2828"/>
      </w:tblGrid>
      <w:tr>
        <w:trPr/>
        <w:tc>
          <w:tcPr>
            <w:tcW w:w="66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b/>
              </w:rPr>
              <w:t xml:space="preserve">Wprowadzenie do sprawozdania finansowego 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b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bCs/>
                <w:color w:val="00000A"/>
              </w:rPr>
            </w:pPr>
            <w:r>
              <w:rPr>
                <w:b/>
                <w:bCs/>
              </w:rPr>
              <w:t>1.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bCs/>
                <w:color w:val="00000A"/>
              </w:rPr>
            </w:pPr>
            <w:r>
              <w:rPr>
                <w:b/>
                <w:bCs/>
              </w:rPr>
              <w:t xml:space="preserve">Nazwę jednostki 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/>
              <w:t>Publiczne Przedszkole Nr 2</w:t>
            </w:r>
            <w:r/>
          </w:p>
        </w:tc>
      </w:tr>
      <w:tr>
        <w:trPr>
          <w:trHeight w:val="307" w:hRule="atLeast"/>
        </w:trPr>
        <w:tc>
          <w:tcPr>
            <w:tcW w:w="66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bCs/>
                <w:color w:val="00000A"/>
              </w:rPr>
            </w:pPr>
            <w:r>
              <w:rPr>
                <w:b/>
                <w:bCs/>
              </w:rPr>
              <w:t>1.2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bCs/>
                <w:color w:val="00000A"/>
              </w:rPr>
            </w:pPr>
            <w:r>
              <w:rPr>
                <w:b/>
                <w:bCs/>
              </w:rPr>
              <w:t xml:space="preserve">Siedzibę jednostki 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/>
              <w:t>UL. Zielona 16, 64-122 Pawłowice 16</w:t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bCs/>
                <w:color w:val="00000A"/>
              </w:rPr>
            </w:pPr>
            <w:r>
              <w:rPr>
                <w:b/>
                <w:bCs/>
              </w:rPr>
              <w:t>1.3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bCs/>
                <w:color w:val="00000A"/>
              </w:rPr>
            </w:pPr>
            <w:r>
              <w:rPr>
                <w:b/>
                <w:bCs/>
              </w:rPr>
              <w:t xml:space="preserve">Adres jednostki 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/>
              <w:t>Zielona 16 , 64-122 Pawłowice</w:t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bCs/>
                <w:color w:val="00000A"/>
              </w:rPr>
            </w:pPr>
            <w:r>
              <w:rPr>
                <w:b/>
                <w:bCs/>
              </w:rPr>
              <w:t>1.4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bCs/>
                <w:color w:val="00000A"/>
              </w:rPr>
            </w:pPr>
            <w:r>
              <w:rPr>
                <w:b/>
                <w:bCs/>
              </w:rPr>
              <w:t>Podstawowy przedmiot działalności  jednostki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/>
              <w:t>Wychowanie Przedszkole</w:t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bCs/>
                <w:color w:val="00000A"/>
              </w:rPr>
            </w:pPr>
            <w:r>
              <w:rPr>
                <w:b/>
                <w:bCs/>
              </w:rPr>
              <w:t>2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bCs/>
                <w:color w:val="00000A"/>
              </w:rPr>
            </w:pPr>
            <w:r>
              <w:rPr>
                <w:b/>
                <w:bCs/>
              </w:rPr>
              <w:t xml:space="preserve">Wskazanie okresu objętego sprawozdaniem 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/>
              <w:t>01.01.2019 -31.12.2019</w:t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bCs/>
                <w:color w:val="00000A"/>
              </w:rPr>
            </w:pPr>
            <w:r>
              <w:rPr>
                <w:b/>
                <w:bCs/>
              </w:rPr>
              <w:t>3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bCs/>
                <w:color w:val="00000A"/>
              </w:rPr>
            </w:pPr>
            <w:r>
              <w:rPr>
                <w:b/>
                <w:bCs/>
              </w:rPr>
              <w:t xml:space="preserve">Wskazanie , ze sprawozdanie finansowe zawiera dane łączne , jeżeli  w skład jednostki nadrzędnej lub jednostki samorządu terytorialnego  wchodzą jednostki sporządzające samodzielne sprawozdania finansowe 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/>
              <w:t>Sprawozdanie Finansowe Jednostkowe</w:t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4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b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b/>
              </w:rPr>
              <w:t>Omówienie przyjętych zasad polityki rachunkowości w tym metod wyceny aktywów i pasywów ( także amortyzacji )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b w:val="false"/>
                <w:sz w:val="22"/>
                <w:b w:val="false"/>
                <w:szCs w:val="22"/>
                <w:bCs w:val="false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b w:val="false"/>
                <w:bCs w:val="false"/>
              </w:rPr>
              <w:t xml:space="preserve">Omówiono  w załączniku 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b w:val="false"/>
                <w:sz w:val="22"/>
                <w:b w:val="false"/>
                <w:szCs w:val="22"/>
                <w:bCs w:val="false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b w:val="false"/>
                <w:bCs w:val="false"/>
              </w:rPr>
              <w:t>Nr 1 do informacji dodatkowej</w:t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II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Dodatkowe informacje i objaśnienia obejmują w szczególności 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b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b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b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1.1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Szczegółowy zakres zmian wartości grup rodzajowych środków trwałych , wartości niematerialnych i prawnych, zawierający stan tych aktywów na początek roku obrotowego , zwiększenia i zmniejszenia z tytułu : aktualizacji wartości , nabycia, rozchodu, przemieszczenia wewnętrznego oraz stan końcowy , a dla majątku amortyzowanego –podobne przedstawienie stanów i tytułów zmian dotychczasowej amortyzacji lub umorzenia 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/>
              <w:t>Wykazano w tabeli Nr 1 i Nr 2 tabeli – załącznik  nr 2 do informacji dodatkowej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1.2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Aktualna wartość rynkową środków trwałych w tym dóbr kultury - o ile jednostka takimi dysponuje 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color w:val="00000A"/>
              </w:rPr>
            </w:pPr>
            <w:r>
              <w:rPr/>
              <w:t>Jednostka nie dysponuje takimi informacjami</w:t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1.3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Kwotę dokonanych w trakcie roku obrotowego odpisów aktualizujących wartość aktywów  trwałych odrębnie dla długoterminowych aktywów niefinansowych oraz długotrwałych aktywów finansowych 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color w:val="00000A"/>
              </w:rPr>
            </w:pPr>
            <w:r>
              <w:rPr/>
              <w:t>Jednostka nie dokonuje odpisów aktualizujących wartość aktywów trwałych</w:t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1.4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Wartość gruntów użytkowanych wieczyście 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color w:val="00000A"/>
              </w:rPr>
            </w:pPr>
            <w:r>
              <w:rPr/>
              <w:t>Jednostka nie posiada gruntów użytkowanych wieczyście</w:t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1.5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b/>
              </w:rPr>
              <w:t>Wartość niezamortyzowanych lub nieumarzanych przez jednostkę środków trwałych , używanych na podstawie umów najmu, dzierżawy i innych umów w tym z tytułu umów leasingu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/>
              <w:t xml:space="preserve"> </w:t>
            </w:r>
            <w:r>
              <w:rPr/>
              <w:t>Jednostka nie używa środków trwałych na podstawie umów najmu, dzierżawy i innych umów w tym z tytułu umów leasingu</w:t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1.6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Liczbę i wartość posiadanych papierów wartościowych , w tym akcji i udziałów oraz papierów wartościowych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color w:val="00000A"/>
              </w:rPr>
            </w:pPr>
            <w:r>
              <w:rPr/>
              <w:t>Jednostka nie posiada papierów wartościowych</w:t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1.7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Dane o odpisach aktualizujących wartość należności ze wskazaniem stanu na początek roku obrotowego , zwiększeniach, wykorzystaniu, rozwiązaniu i stanie na koniec roku obrotowego , z uwzględnieniem należności finansowych jednostek samorządu  terytorialnego ( stan pożyczek zagrożonych 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color w:val="00000A"/>
              </w:rPr>
            </w:pPr>
            <w:r>
              <w:rPr/>
              <w:t>Jednostka nie posiada odpisów aktualizujących wartość należności.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color w:val="00000A"/>
              </w:rPr>
            </w:pPr>
            <w:r>
              <w:rPr/>
              <w:t xml:space="preserve"> </w:t>
            </w:r>
            <w:r>
              <w:rPr/>
              <w:t xml:space="preserve">obrotowym . </w:t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1.8 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Dane o stanie rezerw według celu ich utworzenia na początek roku obrotowego, zwiększeniach , wykorzystaniu,  rozwiązaniu  i stanie końcowym 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/>
              <w:t>Jednostka nie posiada rezerw wg celu ich wytworzenia</w:t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1.9 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Podział zobowiązań długoterminowych według pozycji bilansu o pozostałym od dnia bilansowego , przewidywanym umową lub wynikającym z innego tytułu prawnego , okresie spłaty : 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color w:val="00000A"/>
              </w:rPr>
            </w:pPr>
            <w:r>
              <w:rPr/>
              <w:t>Jednostka nie posiada zobowiązań długoterminowych</w:t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a)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Powyżej 1 roku do 3 lat 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b) 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Powyżej 3 do 5 lat 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C)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Powyżej 5 lat 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1.10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Kwotę zobowiązań w sytuacji gdy jednostka kwalifikuje umowy leasingu zgodnie z przepisami prawa podatkowego                   ( leasing operacyjny ) , a według  przepisów o rachunkowości były to leasing finansowy lub zwrotny z podziałem na kwotę zobowiązań z tytułu leasingu finansowego 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color w:val="00000A"/>
              </w:rPr>
            </w:pPr>
            <w:r>
              <w:rPr/>
              <w:t>Jednostka nie posiada umów leasingu.</w:t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1.11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Łączną kwotę zobowiązań zabezpieczonych na majątku jednostki ze wskazaniem charakteru i formy zabezpieczeń 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color w:val="00000A"/>
              </w:rPr>
            </w:pPr>
            <w:r>
              <w:rPr/>
              <w:t>Jednostka nie posiada zobowiązań zabezpieczonych na majątku jednostki</w:t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1.12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Łączną kwotę zobowiązań warunkowych , w tym udzielonych przez jednostkę gwarancji i poręczeń , także wekslowych , nie wykazanych w bilansie , ze wskazaniem zabezpieczonych na majątku jednostki oraz charakteru i formy zabezpieczeń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/>
              <w:t>Jednostka nie posiada zobowiązań warunkowych</w:t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1.13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Wykaz istotnych pozycji  czynnych i biernych rozliczeń  między okresowych , w tym kwotę czynnych rozliczeń międzyokresowych kosztów stanowiących różnicę miedzy wartością otrzymanych finansowych składników aktywów a zobowiązaniem zapłaty za nie 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/>
              <w:t xml:space="preserve">Jednostka nie posiada czynnych i biernych rozliczeń międzyokresowych </w:t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1.14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Łączną kwotę otrzymanych przez jednostkę gwarancji i poręczeń niewykazanych w bilansie. 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color w:val="00000A"/>
              </w:rPr>
            </w:pPr>
            <w:r>
              <w:rPr/>
              <w:t>Jednostka nie posiada gwarancji i poręczeń niewykazanych w bilansie</w:t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1.15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Kwotę wypłaconych środków na świadczenia pracownicze </w:t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Z podziałem ;</w:t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- wynagrodzenia osobowe, </w:t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- odprawy emerytalne, </w:t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- nagrody jubileuszowe, </w:t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-świadczenia BHP </w:t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- świadczenia wypłacone pracownikom z ZFŚS. 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color w:val="00000A"/>
              </w:rPr>
            </w:pPr>
            <w:r>
              <w:rPr/>
              <w:t>Jednostka wypłaciła świadczenia pracownicze: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color w:val="00000A"/>
              </w:rPr>
            </w:pPr>
            <w:r>
              <w:rPr/>
              <w:t>- wynagrodzenia osobowe w kwocie 287 599,67 zł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/>
              <w:t>- nagrody jubileuszowe w kwocie 450,71 zł;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/>
              <w:t>-świadczenia BHP W kwocie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/>
              <w:t xml:space="preserve"> </w:t>
            </w:r>
            <w:r>
              <w:rPr/>
              <w:t>2 415,86 zł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/>
              <w:t>- świadczenia z ZFŚS w kwocie 16 626,66 zł</w:t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1.16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Inne informacje 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b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2.1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Wartość odpisów aktualizujących wartość zapasów 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color w:val="00000A"/>
              </w:rPr>
            </w:pPr>
            <w:r>
              <w:rPr/>
              <w:t>Jednostka nie dokonała odpisów aktualizujących.</w:t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2.2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Koszt wytworzenia środków trwałych w budowie , w tym odsetki oraz różnice kursowe , które powiększyły koszt wytworzenia środków trwałych w budowie w roku obrotowym 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b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color w:val="00000A"/>
              </w:rPr>
            </w:pPr>
            <w:r>
              <w:rPr/>
              <w:t>Jednostka nie posiada środków trwałych w budowie</w:t>
            </w:r>
            <w:r/>
          </w:p>
        </w:tc>
      </w:tr>
      <w:tr>
        <w:trPr/>
        <w:tc>
          <w:tcPr>
            <w:tcW w:w="66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2.3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Kwotę i charakter poszczególnych pozycji przychodów  lub kosztów  o nadzwyczajnej wartości lub które wystąpiły incydentalnie 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/>
              <w:t xml:space="preserve"> </w:t>
            </w:r>
            <w:r>
              <w:rPr/>
              <w:t>W jednostce nie występują koszty i przychody o nadzwyczajnej wartości oraz incydentalne.</w:t>
            </w:r>
            <w:r/>
          </w:p>
        </w:tc>
      </w:tr>
      <w:tr>
        <w:trPr>
          <w:trHeight w:val="1227" w:hRule="atLeast"/>
        </w:trPr>
        <w:tc>
          <w:tcPr>
            <w:tcW w:w="66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b/>
              </w:rPr>
              <w:t>2.4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b/>
                <w:color w:val="00000A"/>
                <w:sz w:val="22"/>
                <w:szCs w:val="22"/>
                <w:lang w:val="pl-PL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b/>
                <w:color w:val="00000A"/>
                <w:sz w:val="22"/>
                <w:szCs w:val="22"/>
                <w:lang w:val="pl-PL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b/>
                <w:color w:val="00000A"/>
                <w:sz w:val="22"/>
                <w:szCs w:val="22"/>
                <w:lang w:val="pl-PL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Informacja o kwocie należności z tytułu podatków realizowanych przez organy podatkowe podległe ministrowi właściwemu ds. finansów publicznych  wykazywanych w sprawozdaniu  z wykonania planu dochodów budżetowych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/>
              <w:t xml:space="preserve">Nie dotyczy     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color w:val="00000A"/>
                <w:sz w:val="22"/>
                <w:szCs w:val="22"/>
                <w:lang w:val="pl-PL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>
          <w:trHeight w:val="1239" w:hRule="atLeast"/>
        </w:trPr>
        <w:tc>
          <w:tcPr>
            <w:tcW w:w="66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bookmarkStart w:id="0" w:name="_GoBack"/>
            <w:bookmarkStart w:id="1" w:name="_GoBack"/>
            <w:bookmarkEnd w:id="1"/>
            <w:r>
              <w:rPr>
                <w:rFonts w:eastAsia="Calibri" w:cs=""/>
                <w:b/>
                <w:color w:val="00000A"/>
                <w:sz w:val="22"/>
                <w:szCs w:val="22"/>
                <w:lang w:val="pl-PL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b/>
              </w:rPr>
              <w:t>2.5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b/>
                <w:color w:val="00000A"/>
                <w:sz w:val="22"/>
                <w:szCs w:val="22"/>
                <w:lang w:val="pl-PL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b/>
                <w:color w:val="00000A"/>
                <w:sz w:val="22"/>
                <w:szCs w:val="22"/>
                <w:lang w:val="pl-PL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b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b/>
                <w:color w:val="00000A"/>
                <w:sz w:val="22"/>
                <w:szCs w:val="22"/>
                <w:lang w:val="pl-PL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b/>
              </w:rPr>
              <w:t xml:space="preserve">inne informacje 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b/>
                <w:color w:val="00000A"/>
                <w:sz w:val="22"/>
                <w:szCs w:val="22"/>
                <w:lang w:val="pl-PL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b/>
                <w:color w:val="00000A"/>
                <w:sz w:val="22"/>
                <w:szCs w:val="22"/>
                <w:lang w:val="pl-PL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b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color w:val="00000A"/>
              </w:rPr>
            </w:pPr>
            <w:r>
              <w:rPr/>
              <w:t xml:space="preserve">                  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color w:val="00000A"/>
                <w:sz w:val="22"/>
                <w:szCs w:val="22"/>
                <w:lang w:val="pl-PL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>
          <w:trHeight w:val="2367" w:hRule="atLeast"/>
        </w:trPr>
        <w:tc>
          <w:tcPr>
            <w:tcW w:w="66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b/>
                <w:color w:val="00000A"/>
                <w:sz w:val="22"/>
                <w:szCs w:val="22"/>
                <w:lang w:val="pl-PL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3. </w:t>
            </w:r>
            <w:r/>
          </w:p>
        </w:tc>
        <w:tc>
          <w:tcPr>
            <w:tcW w:w="596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b/>
                <w:color w:val="00000A"/>
                <w:sz w:val="22"/>
                <w:szCs w:val="22"/>
                <w:lang w:val="pl-PL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inne informacje niż wymienione powyżej ,jeżeli mogłyby w istotny sposób wpłynąć na ocenę sytuacji majątkowej lub finansowej oraz wynik finansowy jednostki.</w:t>
            </w:r>
            <w:r/>
          </w:p>
        </w:tc>
        <w:tc>
          <w:tcPr>
            <w:tcW w:w="2828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color w:val="00000A"/>
                <w:sz w:val="22"/>
                <w:szCs w:val="22"/>
                <w:lang w:val="pl-PL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color w:val="00000A"/>
              </w:rPr>
            </w:pPr>
            <w:r>
              <w:rPr/>
              <w:t xml:space="preserve">   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color w:val="00000A"/>
                <w:sz w:val="22"/>
                <w:szCs w:val="22"/>
                <w:lang w:val="pl-PL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/>
                <w:color w:val="00000A"/>
                <w:lang w:val="pl-PL" w:eastAsia="en-US" w:bidi="ar-SA"/>
              </w:rPr>
            </w:pPr>
            <w:r>
              <w:rPr>
                <w:rFonts w:eastAsia="Calibri" w:cs="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</w:pPr>
      <w:r>
        <w:rPr>
          <w:b/>
        </w:rPr>
        <w:t xml:space="preserve"> 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1b6a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1b6a64"/>
    <w:rPr>
      <w:vertAlign w:val="superscript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Główka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1b6a64"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pPr/>
    <w:rPr/>
  </w:style>
  <w:style w:type="paragraph" w:styleId="Nagwektabeli">
    <w:name w:val="Nagłówek tabeli"/>
    <w:basedOn w:val="Zawartotabeli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d5794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4610</TotalTime>
  <Application>LibreOffice/4.3.1.2$Windows_x86 LibreOffice_project/958349dc3b25111dbca392fbc281a05559ef6848</Application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2019-01-25T12:37:00Z</dcterms:created>
  <dc:creator>Dorota Andrzejewska</dc:creator>
  <dc:language>pl-PL</dc:language>
  <dcterms:modified xsi:type="dcterms:W3CDTF">2020-03-10T10:44:30Z</dcterms:modified>
  <cp:revision>13</cp:revision>
</cp:coreProperties>
</file>